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EFFC4" w14:textId="77777777" w:rsidR="003075FE" w:rsidRDefault="003075FE" w:rsidP="005C1294">
      <w:pPr>
        <w:pStyle w:val="berschrift6"/>
        <w:rPr>
          <w:szCs w:val="22"/>
          <w:u w:val="single"/>
        </w:rPr>
      </w:pPr>
      <w:r>
        <w:rPr>
          <w:szCs w:val="22"/>
          <w:u w:val="single"/>
        </w:rPr>
        <w:t xml:space="preserve">Manufacturing Execution System von iTAC </w:t>
      </w:r>
    </w:p>
    <w:p w14:paraId="41DABAA2" w14:textId="6C775A3E" w:rsidR="007345DB" w:rsidRPr="00BC0C90" w:rsidRDefault="003075FE" w:rsidP="00C46BC0">
      <w:pPr>
        <w:pStyle w:val="berschrift6"/>
        <w:spacing w:after="240"/>
        <w:rPr>
          <w:color w:val="FF0000"/>
          <w:szCs w:val="22"/>
          <w:u w:val="single"/>
        </w:rPr>
      </w:pPr>
      <w:r>
        <w:rPr>
          <w:szCs w:val="22"/>
          <w:u w:val="single"/>
        </w:rPr>
        <w:t>beweist sich als führende Technologie für den Automobil-Sektor</w:t>
      </w:r>
    </w:p>
    <w:p w14:paraId="0D311623" w14:textId="77777777" w:rsidR="004C7956" w:rsidRDefault="004C7956" w:rsidP="00971CC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Gartner empfiehlt iTAC.</w:t>
      </w:r>
      <w:r w:rsidR="0086682A">
        <w:rPr>
          <w:rFonts w:ascii="Arial" w:hAnsi="Arial" w:cs="Arial"/>
          <w:b/>
          <w:sz w:val="28"/>
          <w:szCs w:val="28"/>
        </w:rPr>
        <w:t>MES</w:t>
      </w:r>
      <w:r>
        <w:rPr>
          <w:rFonts w:ascii="Arial" w:hAnsi="Arial" w:cs="Arial"/>
          <w:b/>
          <w:sz w:val="28"/>
          <w:szCs w:val="28"/>
        </w:rPr>
        <w:t xml:space="preserve">.Suite </w:t>
      </w:r>
    </w:p>
    <w:p w14:paraId="71BF72F8" w14:textId="79425161" w:rsidR="00FE210F" w:rsidRPr="00C00641" w:rsidRDefault="00D319B6" w:rsidP="00C46BC0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</w:t>
      </w:r>
      <w:r w:rsidR="004C7956">
        <w:rPr>
          <w:rFonts w:ascii="Arial" w:hAnsi="Arial" w:cs="Arial"/>
          <w:b/>
          <w:sz w:val="28"/>
          <w:szCs w:val="28"/>
        </w:rPr>
        <w:t>ür</w:t>
      </w:r>
      <w:r>
        <w:rPr>
          <w:rFonts w:ascii="Arial" w:hAnsi="Arial" w:cs="Arial"/>
          <w:b/>
          <w:sz w:val="28"/>
          <w:szCs w:val="28"/>
        </w:rPr>
        <w:t xml:space="preserve"> die</w:t>
      </w:r>
      <w:r w:rsidR="004C795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Automotive-Fertigung</w:t>
      </w:r>
    </w:p>
    <w:p w14:paraId="75EACFD7" w14:textId="2E69B7B1" w:rsidR="00680A9D" w:rsidRDefault="00056886" w:rsidP="00C46BC0">
      <w:pPr>
        <w:spacing w:after="24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E316E7">
        <w:rPr>
          <w:rFonts w:ascii="Arial" w:hAnsi="Arial" w:cs="Arial"/>
          <w:b/>
          <w:color w:val="000000"/>
          <w:sz w:val="22"/>
          <w:szCs w:val="22"/>
          <w:u w:val="single"/>
        </w:rPr>
        <w:t>15</w:t>
      </w:r>
      <w:r w:rsidR="00D04F03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145B28">
        <w:rPr>
          <w:rFonts w:ascii="Arial" w:hAnsi="Arial" w:cs="Arial"/>
          <w:b/>
          <w:color w:val="000000"/>
          <w:sz w:val="22"/>
          <w:szCs w:val="22"/>
          <w:u w:val="single"/>
        </w:rPr>
        <w:t>Februar</w:t>
      </w:r>
      <w:r w:rsidR="00E31B7E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E316E7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1C1A20" w:rsidRPr="00BC0C90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DA3131" w:rsidRPr="00BC0C90">
        <w:rPr>
          <w:rFonts w:ascii="Arial" w:hAnsi="Arial" w:cs="Arial"/>
          <w:b/>
          <w:color w:val="000000"/>
          <w:sz w:val="22"/>
          <w:szCs w:val="22"/>
        </w:rPr>
        <w:t xml:space="preserve"> D</w:t>
      </w:r>
      <w:r w:rsidR="003075FE">
        <w:rPr>
          <w:rFonts w:ascii="Arial" w:hAnsi="Arial" w:cs="Arial"/>
          <w:b/>
          <w:color w:val="000000"/>
          <w:sz w:val="22"/>
          <w:szCs w:val="22"/>
        </w:rPr>
        <w:t>as Manufacturing Execution System</w:t>
      </w:r>
      <w:r w:rsidR="002A42CA">
        <w:rPr>
          <w:rFonts w:ascii="Arial" w:hAnsi="Arial" w:cs="Arial"/>
          <w:b/>
          <w:color w:val="000000"/>
          <w:sz w:val="22"/>
          <w:szCs w:val="22"/>
        </w:rPr>
        <w:t xml:space="preserve"> (MES)</w:t>
      </w:r>
      <w:r w:rsidR="003075FE">
        <w:rPr>
          <w:rFonts w:ascii="Arial" w:hAnsi="Arial" w:cs="Arial"/>
          <w:b/>
          <w:color w:val="000000"/>
          <w:sz w:val="22"/>
          <w:szCs w:val="22"/>
        </w:rPr>
        <w:t xml:space="preserve"> der</w:t>
      </w:r>
      <w:r w:rsidR="00CF3F5D" w:rsidRPr="00BC0C90">
        <w:rPr>
          <w:rFonts w:ascii="Arial" w:hAnsi="Arial" w:cs="Arial"/>
          <w:b/>
          <w:color w:val="000000"/>
          <w:sz w:val="22"/>
          <w:szCs w:val="22"/>
        </w:rPr>
        <w:t xml:space="preserve"> iTAC Software AG</w:t>
      </w:r>
      <w:r w:rsidR="003075FE">
        <w:rPr>
          <w:rFonts w:ascii="Arial" w:hAnsi="Arial" w:cs="Arial"/>
          <w:b/>
          <w:color w:val="000000"/>
          <w:sz w:val="22"/>
          <w:szCs w:val="22"/>
        </w:rPr>
        <w:t xml:space="preserve"> wurde von Gartner als branchenspezifische Lösung</w:t>
      </w:r>
      <w:r w:rsidR="00680A9D">
        <w:rPr>
          <w:rFonts w:ascii="Arial" w:hAnsi="Arial" w:cs="Arial"/>
          <w:b/>
          <w:color w:val="000000"/>
          <w:sz w:val="22"/>
          <w:szCs w:val="22"/>
        </w:rPr>
        <w:t xml:space="preserve"> für die Automobil</w:t>
      </w:r>
      <w:r w:rsidR="002A42CA">
        <w:rPr>
          <w:rFonts w:ascii="Arial" w:hAnsi="Arial" w:cs="Arial"/>
          <w:b/>
          <w:color w:val="000000"/>
          <w:sz w:val="22"/>
          <w:szCs w:val="22"/>
        </w:rPr>
        <w:t>-Branche ausgezeichnet. Im Rahmen des „Magic Quadrant for Manufacturing Execution Systems</w:t>
      </w:r>
      <w:r w:rsidR="00680A9D">
        <w:rPr>
          <w:rFonts w:ascii="Arial" w:hAnsi="Arial" w:cs="Arial"/>
          <w:b/>
          <w:color w:val="000000"/>
          <w:sz w:val="22"/>
          <w:szCs w:val="22"/>
        </w:rPr>
        <w:t xml:space="preserve">“ im Automotive-Kontext ist iTAC einer von zwei empfohlenen Anbietern. Dies untermauert, dass die iTAC.MES.Suite </w:t>
      </w:r>
      <w:r w:rsidR="00680A9D" w:rsidRPr="00BC0C90">
        <w:rPr>
          <w:rFonts w:ascii="Arial" w:hAnsi="Arial" w:cs="Arial"/>
          <w:b/>
          <w:i/>
          <w:color w:val="000000"/>
          <w:sz w:val="22"/>
          <w:szCs w:val="22"/>
        </w:rPr>
        <w:t>dockerized</w:t>
      </w:r>
      <w:r w:rsidR="00680A9D">
        <w:rPr>
          <w:rFonts w:ascii="Arial" w:hAnsi="Arial" w:cs="Arial"/>
          <w:b/>
          <w:color w:val="000000"/>
          <w:sz w:val="22"/>
          <w:szCs w:val="22"/>
        </w:rPr>
        <w:t xml:space="preserve"> eine der führenden und innovativsten Lösungen der Branche ist.</w:t>
      </w:r>
    </w:p>
    <w:p w14:paraId="20ECE6F4" w14:textId="7EB2B771" w:rsidR="00284CE7" w:rsidRDefault="00680A9D" w:rsidP="00C46BC0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680A9D">
        <w:rPr>
          <w:rFonts w:ascii="Arial" w:hAnsi="Arial" w:cs="Arial"/>
          <w:color w:val="000000"/>
          <w:sz w:val="22"/>
          <w:szCs w:val="22"/>
        </w:rPr>
        <w:t xml:space="preserve">Die iTAC.MES.Suite </w:t>
      </w:r>
      <w:r w:rsidRPr="00680A9D">
        <w:rPr>
          <w:rFonts w:ascii="Arial" w:hAnsi="Arial" w:cs="Arial"/>
          <w:i/>
          <w:color w:val="000000"/>
          <w:sz w:val="22"/>
          <w:szCs w:val="22"/>
        </w:rPr>
        <w:t>dockerized</w:t>
      </w:r>
      <w:r w:rsidRPr="00680A9D">
        <w:rPr>
          <w:rFonts w:ascii="Arial" w:hAnsi="Arial" w:cs="Arial"/>
          <w:color w:val="000000"/>
          <w:sz w:val="22"/>
          <w:szCs w:val="22"/>
        </w:rPr>
        <w:t xml:space="preserve"> ist eine MES-Plattform zum Betrieb auf den führenden IoT-Plattformen wie z.B. AWS, MS Azure etc. Damit bietet iTAC eine MES-Plattform zur Implementierung von IIoT-Anwendungen an. </w:t>
      </w:r>
      <w:r w:rsidR="00284CE7">
        <w:rPr>
          <w:rFonts w:ascii="Arial" w:hAnsi="Arial" w:cs="Arial"/>
          <w:color w:val="000000"/>
          <w:sz w:val="22"/>
          <w:szCs w:val="22"/>
        </w:rPr>
        <w:t>Es handelt sich dabei um eine Container-basierte offene MES-Plattform. Diese verfügt über eine REST API, so dass maßgeschneiderte MES- bzw. IIoT-Anwendungen für verschiedene Branchensegmente mit agilen Entwicklungsmethoden ausgeprägt werden können.</w:t>
      </w:r>
    </w:p>
    <w:p w14:paraId="2AA9035A" w14:textId="77777777" w:rsidR="00284CE7" w:rsidRDefault="00284CE7" w:rsidP="00C46BC0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CF11DA">
        <w:rPr>
          <w:rFonts w:ascii="Arial" w:hAnsi="Arial" w:cs="Arial"/>
          <w:color w:val="000000"/>
          <w:sz w:val="22"/>
          <w:szCs w:val="22"/>
        </w:rPr>
        <w:t>Die iTAC.MES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Suite </w:t>
      </w:r>
      <w:r w:rsidRPr="00CF11DA">
        <w:rPr>
          <w:rFonts w:ascii="Arial" w:hAnsi="Arial" w:cs="Arial"/>
          <w:i/>
          <w:iCs/>
          <w:color w:val="000000"/>
          <w:sz w:val="22"/>
          <w:szCs w:val="22"/>
        </w:rPr>
        <w:t xml:space="preserve">dockerized 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ist </w:t>
      </w:r>
      <w:r>
        <w:rPr>
          <w:rFonts w:ascii="Arial" w:hAnsi="Arial" w:cs="Arial"/>
          <w:color w:val="000000"/>
          <w:sz w:val="22"/>
          <w:szCs w:val="22"/>
        </w:rPr>
        <w:t xml:space="preserve">mit ihrer Service-orientierten Architektur und Container-basierten Ausprägung auf den führenden IoT-Plattformen wie AWS, Microsoft Azure und </w:t>
      </w:r>
      <w:r w:rsidRPr="00CF11DA">
        <w:rPr>
          <w:rFonts w:ascii="Arial" w:hAnsi="Arial" w:cs="Arial"/>
          <w:color w:val="000000"/>
          <w:sz w:val="22"/>
          <w:szCs w:val="22"/>
        </w:rPr>
        <w:t>IBM Bluemix</w:t>
      </w:r>
      <w:r>
        <w:rPr>
          <w:rFonts w:ascii="Arial" w:hAnsi="Arial" w:cs="Arial"/>
          <w:color w:val="000000"/>
          <w:sz w:val="22"/>
          <w:szCs w:val="22"/>
        </w:rPr>
        <w:t xml:space="preserve"> etc.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lauffähig. Zudem ist die offene MES-Plattform auch als On Premises- oder Edge-Device-Lösung verfügbar. </w:t>
      </w:r>
    </w:p>
    <w:p w14:paraId="5764D93F" w14:textId="4F8A131F" w:rsidR="00284CE7" w:rsidRDefault="00284CE7" w:rsidP="00C46BC0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Darüber hinaus gehört iTAC mit seinem Produkt iTAC.MES.Suite und mit den damit verbundenen im Markt etablierten MES-Basisfunktionalitäten zu den Technologieführern. Die iTAC-Produkte fließen als „</w:t>
      </w:r>
      <w:r w:rsidRPr="00FE6C0D">
        <w:rPr>
          <w:rFonts w:ascii="Arial" w:hAnsi="Arial" w:cs="Arial"/>
          <w:sz w:val="22"/>
          <w:szCs w:val="22"/>
        </w:rPr>
        <w:t>Platform-independent Applications“</w:t>
      </w:r>
      <w:r>
        <w:rPr>
          <w:rFonts w:ascii="Arial" w:hAnsi="Arial" w:cs="Arial"/>
          <w:sz w:val="22"/>
          <w:szCs w:val="22"/>
        </w:rPr>
        <w:t xml:space="preserve"> in immer mehr</w:t>
      </w:r>
      <w:r w:rsidRPr="006502BC">
        <w:rPr>
          <w:rFonts w:ascii="Arial" w:hAnsi="Arial" w:cs="Arial"/>
          <w:sz w:val="22"/>
          <w:szCs w:val="22"/>
        </w:rPr>
        <w:t xml:space="preserve"> Digitalisie</w:t>
      </w:r>
      <w:r>
        <w:rPr>
          <w:rFonts w:ascii="Arial" w:hAnsi="Arial" w:cs="Arial"/>
          <w:sz w:val="22"/>
          <w:szCs w:val="22"/>
        </w:rPr>
        <w:t>rungs-Initiativen und -Projekte ein</w:t>
      </w:r>
      <w:r w:rsidRPr="006502BC">
        <w:rPr>
          <w:rFonts w:ascii="Arial" w:hAnsi="Arial" w:cs="Arial"/>
          <w:sz w:val="22"/>
          <w:szCs w:val="22"/>
        </w:rPr>
        <w:t>.</w:t>
      </w:r>
    </w:p>
    <w:p w14:paraId="1C1CE972" w14:textId="581B252D" w:rsidR="00284CE7" w:rsidRDefault="00284CE7" w:rsidP="00C46BC0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iTAC besitzt unter anderem im Automotive-Sektor langjährige Erfahrung, bietet branchenspezifische Funktionalitäten bei hoher Wirtschaftlichkeit und Innovationskraft. Diese Kriterien haben</w:t>
      </w:r>
      <w:r w:rsidR="0077600D">
        <w:rPr>
          <w:rFonts w:ascii="Arial" w:hAnsi="Arial" w:cs="Arial"/>
          <w:sz w:val="22"/>
          <w:szCs w:val="22"/>
        </w:rPr>
        <w:t xml:space="preserve"> die Analysten</w:t>
      </w:r>
      <w:r>
        <w:rPr>
          <w:rFonts w:ascii="Arial" w:hAnsi="Arial" w:cs="Arial"/>
          <w:sz w:val="22"/>
          <w:szCs w:val="22"/>
        </w:rPr>
        <w:t xml:space="preserve"> Gartner davon überzeugt, das MES von iTAC in der Magic Quadrant-</w:t>
      </w:r>
      <w:r w:rsidR="00984DCD">
        <w:rPr>
          <w:rFonts w:ascii="Arial" w:hAnsi="Arial" w:cs="Arial"/>
          <w:sz w:val="22"/>
          <w:szCs w:val="22"/>
        </w:rPr>
        <w:t>Auswahl</w:t>
      </w:r>
      <w:r>
        <w:rPr>
          <w:rFonts w:ascii="Arial" w:hAnsi="Arial" w:cs="Arial"/>
          <w:sz w:val="22"/>
          <w:szCs w:val="22"/>
        </w:rPr>
        <w:t xml:space="preserve"> für diese Branche zu platzieren.</w:t>
      </w:r>
    </w:p>
    <w:p w14:paraId="6242AE07" w14:textId="77777777" w:rsidR="00284CE7" w:rsidRDefault="00284CE7" w:rsidP="00C46BC0">
      <w:pPr>
        <w:spacing w:after="240" w:line="360" w:lineRule="auto"/>
        <w:rPr>
          <w:rFonts w:ascii="Arial" w:hAnsi="Arial" w:cs="Arial"/>
          <w:sz w:val="22"/>
          <w:szCs w:val="22"/>
        </w:rPr>
      </w:pPr>
    </w:p>
    <w:p w14:paraId="360D9FE2" w14:textId="3D08A927" w:rsidR="00284CE7" w:rsidRDefault="00284CE7" w:rsidP="00C46BC0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0317DF">
        <w:rPr>
          <w:rFonts w:ascii="Arial" w:hAnsi="Arial" w:cs="Arial"/>
          <w:sz w:val="22"/>
          <w:szCs w:val="22"/>
        </w:rPr>
        <w:t>Die d</w:t>
      </w:r>
      <w:r>
        <w:rPr>
          <w:rFonts w:ascii="Arial" w:hAnsi="Arial" w:cs="Arial"/>
          <w:sz w:val="22"/>
          <w:szCs w:val="22"/>
        </w:rPr>
        <w:t>iskrete Fertigungsindustrie</w:t>
      </w:r>
      <w:r w:rsidR="000317DF">
        <w:rPr>
          <w:rFonts w:ascii="Arial" w:hAnsi="Arial" w:cs="Arial"/>
          <w:sz w:val="22"/>
          <w:szCs w:val="22"/>
        </w:rPr>
        <w:t xml:space="preserve"> der Automobilbranche unterliegt hohen Automatisierungsgraden. 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 xml:space="preserve">Der Schwerpunkt des MES liegt </w:t>
      </w:r>
      <w:r w:rsidR="000317DF">
        <w:rPr>
          <w:rFonts w:ascii="Arial" w:hAnsi="Arial" w:cs="Arial"/>
          <w:color w:val="000000"/>
          <w:sz w:val="22"/>
          <w:szCs w:val="22"/>
        </w:rPr>
        <w:t xml:space="preserve">hier 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 xml:space="preserve">auf </w:t>
      </w:r>
      <w:r w:rsidR="000317DF">
        <w:rPr>
          <w:rFonts w:ascii="Arial" w:hAnsi="Arial" w:cs="Arial"/>
          <w:color w:val="000000"/>
          <w:sz w:val="22"/>
          <w:szCs w:val="22"/>
        </w:rPr>
        <w:t>Funktionen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 xml:space="preserve">, die </w:t>
      </w:r>
      <w:r w:rsidR="000317DF">
        <w:rPr>
          <w:rFonts w:ascii="Arial" w:hAnsi="Arial" w:cs="Arial"/>
          <w:color w:val="000000"/>
          <w:sz w:val="22"/>
          <w:szCs w:val="22"/>
        </w:rPr>
        <w:t>das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 xml:space="preserve"> Produktionsmanagement dabei </w:t>
      </w:r>
      <w:r w:rsidR="000317DF">
        <w:rPr>
          <w:rFonts w:ascii="Arial" w:hAnsi="Arial" w:cs="Arial"/>
          <w:color w:val="000000"/>
          <w:sz w:val="22"/>
          <w:szCs w:val="22"/>
        </w:rPr>
        <w:t>unterstützen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>, Fehler</w:t>
      </w:r>
      <w:r w:rsidR="000317DF">
        <w:rPr>
          <w:rFonts w:ascii="Arial" w:hAnsi="Arial" w:cs="Arial"/>
          <w:color w:val="000000"/>
          <w:sz w:val="22"/>
          <w:szCs w:val="22"/>
        </w:rPr>
        <w:t xml:space="preserve"> rechtzeitig</w:t>
      </w:r>
      <w:r w:rsidR="000317DF" w:rsidRPr="008B641E">
        <w:rPr>
          <w:rFonts w:ascii="Arial" w:hAnsi="Arial" w:cs="Arial"/>
          <w:color w:val="000000"/>
          <w:sz w:val="22"/>
          <w:szCs w:val="22"/>
        </w:rPr>
        <w:t xml:space="preserve"> zu erkennen, zu diagnostizieren, vorherzusagen und zu bewerten</w:t>
      </w:r>
      <w:r w:rsidR="000317DF">
        <w:rPr>
          <w:rFonts w:ascii="Arial" w:hAnsi="Arial" w:cs="Arial"/>
          <w:color w:val="000000"/>
          <w:sz w:val="22"/>
          <w:szCs w:val="22"/>
        </w:rPr>
        <w:t>“, erklärt Dieter Meuser, CTO der iTAC Software AG. „</w:t>
      </w:r>
      <w:r w:rsidR="008350DF">
        <w:rPr>
          <w:rFonts w:ascii="Arial" w:hAnsi="Arial" w:cs="Arial"/>
          <w:color w:val="000000"/>
          <w:sz w:val="22"/>
          <w:szCs w:val="22"/>
        </w:rPr>
        <w:t xml:space="preserve">Wir bieten eine MES-Lösung, die seit zwanzig Jahren in der Automobilbranche bewährt ist und sich den zunehmenden Anforderungen der smarten Fabriken anpasst. Dies führte zu der positiven Gartner-Bewertung“, ergänzt Dieter Meuser. </w:t>
      </w:r>
    </w:p>
    <w:p w14:paraId="5CC04223" w14:textId="177DDBF1" w:rsidR="004806E3" w:rsidRDefault="00BF1F08" w:rsidP="0019659C">
      <w:pPr>
        <w:pStyle w:val="Texteingerckt"/>
        <w:spacing w:after="0"/>
        <w:ind w:left="0" w:firstLine="0"/>
        <w:jc w:val="left"/>
        <w:rPr>
          <w:i/>
        </w:rPr>
      </w:pPr>
      <w:r>
        <w:rPr>
          <w:i/>
        </w:rPr>
        <w:t>Zeichenzahl: 2.506</w:t>
      </w:r>
      <w:r w:rsidR="00041E68">
        <w:rPr>
          <w:i/>
        </w:rPr>
        <w:t xml:space="preserve"> </w:t>
      </w:r>
      <w:r w:rsidR="00427901" w:rsidRPr="00A54D97">
        <w:rPr>
          <w:i/>
        </w:rPr>
        <w:t>(</w:t>
      </w:r>
      <w:r w:rsidR="005C1294">
        <w:rPr>
          <w:i/>
        </w:rPr>
        <w:t>inkl.</w:t>
      </w:r>
      <w:r w:rsidR="00427901" w:rsidRPr="00A54D97">
        <w:rPr>
          <w:i/>
        </w:rPr>
        <w:t xml:space="preserve"> Leerzeichen)</w:t>
      </w:r>
    </w:p>
    <w:p w14:paraId="1D765E46" w14:textId="77777777" w:rsidR="00FC6023" w:rsidRPr="004906BB" w:rsidRDefault="00FC6023" w:rsidP="0019659C">
      <w:pPr>
        <w:pStyle w:val="Texteingerckt"/>
        <w:spacing w:after="0"/>
        <w:ind w:left="0" w:firstLine="0"/>
        <w:jc w:val="left"/>
        <w:rPr>
          <w:i/>
        </w:rPr>
      </w:pPr>
    </w:p>
    <w:p w14:paraId="610B727A" w14:textId="77777777" w:rsidR="00D96A0A" w:rsidRPr="0018549F" w:rsidRDefault="00D96A0A" w:rsidP="00D96A0A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14:paraId="0F33A45D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IIoT-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14:paraId="4B3548CB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14:paraId="563678C0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14:paraId="02C331E6" w14:textId="77777777"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14:paraId="155DF75C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14:paraId="50E73DBE" w14:textId="77777777"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14:paraId="1CE61186" w14:textId="77777777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14:paraId="52389124" w14:textId="77777777"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14:paraId="5F24FA3A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14:paraId="28A06F58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14:paraId="2DDC4881" w14:textId="77777777"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14:paraId="76D645EA" w14:textId="77777777"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14:paraId="15452609" w14:textId="77777777"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8" w:history="1">
              <w:r w:rsidRPr="00CE5031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michael.fischer@itac.de</w:t>
              </w:r>
            </w:hyperlink>
          </w:p>
          <w:p w14:paraId="18D0DCD9" w14:textId="77777777" w:rsidR="00AB5D21" w:rsidRPr="00D60D93" w:rsidRDefault="00C46BC0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9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14:paraId="1FB51F71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14:paraId="0283E4C8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14:paraId="18EC7F03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14:paraId="43D14BF7" w14:textId="77777777"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0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14:paraId="4F5C2436" w14:textId="77777777" w:rsidR="00AB5D21" w:rsidRPr="00D60D93" w:rsidRDefault="00C46BC0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1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14:paraId="413AF65B" w14:textId="77777777"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2"/>
      <w:footerReference w:type="even" r:id="rId13"/>
      <w:footerReference w:type="default" r:id="rId14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1E3A1" w14:textId="77777777" w:rsidR="00D06A44" w:rsidRDefault="00D06A44">
      <w:r>
        <w:separator/>
      </w:r>
    </w:p>
  </w:endnote>
  <w:endnote w:type="continuationSeparator" w:id="0">
    <w:p w14:paraId="0734AF30" w14:textId="77777777" w:rsidR="00D06A44" w:rsidRDefault="00D0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D7611" w14:textId="77777777"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C071841" w14:textId="77777777"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A5804" w14:textId="77777777"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C46BC0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14:paraId="58AF7901" w14:textId="77777777"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F15BC" w14:textId="77777777" w:rsidR="00D06A44" w:rsidRDefault="00D06A44">
      <w:r>
        <w:separator/>
      </w:r>
    </w:p>
  </w:footnote>
  <w:footnote w:type="continuationSeparator" w:id="0">
    <w:p w14:paraId="72B4910A" w14:textId="77777777" w:rsidR="00D06A44" w:rsidRDefault="00D06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55505" w14:textId="77777777"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CB412B" wp14:editId="6F900874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B47023" w14:textId="77777777"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B41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14:paraId="6FB47023" w14:textId="77777777"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3A13179" wp14:editId="59F38EA7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29C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7DF"/>
    <w:rsid w:val="00031949"/>
    <w:rsid w:val="00032B25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9DF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2D1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2AD"/>
    <w:rsid w:val="00114510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5B28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52B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424F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57B0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3BCB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543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5B8"/>
    <w:rsid w:val="00245F04"/>
    <w:rsid w:val="00246D64"/>
    <w:rsid w:val="00250180"/>
    <w:rsid w:val="00252142"/>
    <w:rsid w:val="002527BE"/>
    <w:rsid w:val="002533CC"/>
    <w:rsid w:val="002533F8"/>
    <w:rsid w:val="0025355E"/>
    <w:rsid w:val="00254272"/>
    <w:rsid w:val="002546D6"/>
    <w:rsid w:val="00254BF0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4CE7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80C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2CA"/>
    <w:rsid w:val="002A47DC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3E73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5FE"/>
    <w:rsid w:val="003076B4"/>
    <w:rsid w:val="00307DFF"/>
    <w:rsid w:val="00310BC6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0A7D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0EA1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3B0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1868"/>
    <w:rsid w:val="00423181"/>
    <w:rsid w:val="004241B6"/>
    <w:rsid w:val="004243E5"/>
    <w:rsid w:val="00424433"/>
    <w:rsid w:val="00424D12"/>
    <w:rsid w:val="00427901"/>
    <w:rsid w:val="00427B9B"/>
    <w:rsid w:val="00427BE7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9D2"/>
    <w:rsid w:val="00452234"/>
    <w:rsid w:val="00452D8C"/>
    <w:rsid w:val="00453004"/>
    <w:rsid w:val="00453EA4"/>
    <w:rsid w:val="0045461C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C7956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1FB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176E0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0F56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2AB"/>
    <w:rsid w:val="00550375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69"/>
    <w:rsid w:val="005711B9"/>
    <w:rsid w:val="0057126F"/>
    <w:rsid w:val="00571E26"/>
    <w:rsid w:val="0057241F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566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F60"/>
    <w:rsid w:val="00643407"/>
    <w:rsid w:val="00643D2E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5C7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0A9D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683D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3E2B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3825"/>
    <w:rsid w:val="00725129"/>
    <w:rsid w:val="007271A6"/>
    <w:rsid w:val="00731573"/>
    <w:rsid w:val="00732A7F"/>
    <w:rsid w:val="007345DB"/>
    <w:rsid w:val="00735786"/>
    <w:rsid w:val="00735F1F"/>
    <w:rsid w:val="0073733D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E2D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5AC3"/>
    <w:rsid w:val="007562D6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70B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00D"/>
    <w:rsid w:val="00776D79"/>
    <w:rsid w:val="00777041"/>
    <w:rsid w:val="007771ED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D73BC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5C8"/>
    <w:rsid w:val="007E56E8"/>
    <w:rsid w:val="007E5A11"/>
    <w:rsid w:val="007E644D"/>
    <w:rsid w:val="007E65EA"/>
    <w:rsid w:val="007E69DB"/>
    <w:rsid w:val="007E7D61"/>
    <w:rsid w:val="007E7EBE"/>
    <w:rsid w:val="007E7F1F"/>
    <w:rsid w:val="007F0347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3FD8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0DF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4E1F"/>
    <w:rsid w:val="008557AA"/>
    <w:rsid w:val="0085689D"/>
    <w:rsid w:val="008569B6"/>
    <w:rsid w:val="00861FFD"/>
    <w:rsid w:val="0086315A"/>
    <w:rsid w:val="00863357"/>
    <w:rsid w:val="00866036"/>
    <w:rsid w:val="008662E6"/>
    <w:rsid w:val="0086682A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0C3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5370"/>
    <w:rsid w:val="008B572F"/>
    <w:rsid w:val="008B641E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28A2"/>
    <w:rsid w:val="008E403F"/>
    <w:rsid w:val="008E42E4"/>
    <w:rsid w:val="008E4880"/>
    <w:rsid w:val="008E4A92"/>
    <w:rsid w:val="008E4CFA"/>
    <w:rsid w:val="008E4DF1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394F"/>
    <w:rsid w:val="00903F1F"/>
    <w:rsid w:val="00905483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BA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4DCD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626C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37D9"/>
    <w:rsid w:val="00A24E17"/>
    <w:rsid w:val="00A24E7C"/>
    <w:rsid w:val="00A26307"/>
    <w:rsid w:val="00A264AC"/>
    <w:rsid w:val="00A266DE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3AAB"/>
    <w:rsid w:val="00A346F6"/>
    <w:rsid w:val="00A3493D"/>
    <w:rsid w:val="00A35459"/>
    <w:rsid w:val="00A3608D"/>
    <w:rsid w:val="00A36383"/>
    <w:rsid w:val="00A36E93"/>
    <w:rsid w:val="00A405F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216D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1AFA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2F72"/>
    <w:rsid w:val="00A9449B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A0534"/>
    <w:rsid w:val="00AA0CC2"/>
    <w:rsid w:val="00AA153B"/>
    <w:rsid w:val="00AA17FE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4E0A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16CA6"/>
    <w:rsid w:val="00B2052C"/>
    <w:rsid w:val="00B2095F"/>
    <w:rsid w:val="00B232A6"/>
    <w:rsid w:val="00B2398F"/>
    <w:rsid w:val="00B23BEB"/>
    <w:rsid w:val="00B244B8"/>
    <w:rsid w:val="00B27252"/>
    <w:rsid w:val="00B30811"/>
    <w:rsid w:val="00B30F3B"/>
    <w:rsid w:val="00B30F76"/>
    <w:rsid w:val="00B32F7B"/>
    <w:rsid w:val="00B331DA"/>
    <w:rsid w:val="00B341A1"/>
    <w:rsid w:val="00B34BE6"/>
    <w:rsid w:val="00B35699"/>
    <w:rsid w:val="00B35CFB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F1C"/>
    <w:rsid w:val="00B60CE4"/>
    <w:rsid w:val="00B615CA"/>
    <w:rsid w:val="00B621A9"/>
    <w:rsid w:val="00B623C3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79E"/>
    <w:rsid w:val="00B76AB1"/>
    <w:rsid w:val="00B77ACB"/>
    <w:rsid w:val="00B80F9C"/>
    <w:rsid w:val="00B81050"/>
    <w:rsid w:val="00B817E5"/>
    <w:rsid w:val="00B838C4"/>
    <w:rsid w:val="00B859FF"/>
    <w:rsid w:val="00B86B02"/>
    <w:rsid w:val="00B86C00"/>
    <w:rsid w:val="00B86F69"/>
    <w:rsid w:val="00B87693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67C"/>
    <w:rsid w:val="00BC0C0D"/>
    <w:rsid w:val="00BC0C90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757B"/>
    <w:rsid w:val="00BE00BE"/>
    <w:rsid w:val="00BE052A"/>
    <w:rsid w:val="00BE0753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57D"/>
    <w:rsid w:val="00BE682C"/>
    <w:rsid w:val="00BE705F"/>
    <w:rsid w:val="00BF13A4"/>
    <w:rsid w:val="00BF1F08"/>
    <w:rsid w:val="00BF2442"/>
    <w:rsid w:val="00BF427B"/>
    <w:rsid w:val="00BF4776"/>
    <w:rsid w:val="00BF5432"/>
    <w:rsid w:val="00BF6E44"/>
    <w:rsid w:val="00BF7F89"/>
    <w:rsid w:val="00C0028E"/>
    <w:rsid w:val="00C00468"/>
    <w:rsid w:val="00C00641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2A99"/>
    <w:rsid w:val="00C32C76"/>
    <w:rsid w:val="00C33523"/>
    <w:rsid w:val="00C33579"/>
    <w:rsid w:val="00C33A13"/>
    <w:rsid w:val="00C341E4"/>
    <w:rsid w:val="00C34695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6BC0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6D66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67A"/>
    <w:rsid w:val="00CA7E2D"/>
    <w:rsid w:val="00CB0094"/>
    <w:rsid w:val="00CB01EF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999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1544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6A44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19B6"/>
    <w:rsid w:val="00D321A8"/>
    <w:rsid w:val="00D3232B"/>
    <w:rsid w:val="00D32A9A"/>
    <w:rsid w:val="00D32C8E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56F67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C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131"/>
    <w:rsid w:val="00DA34E1"/>
    <w:rsid w:val="00DA3FD9"/>
    <w:rsid w:val="00DA4166"/>
    <w:rsid w:val="00DA4D19"/>
    <w:rsid w:val="00DA5B71"/>
    <w:rsid w:val="00DA5C2A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35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6E7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42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BE4"/>
    <w:rsid w:val="00F15453"/>
    <w:rsid w:val="00F15E36"/>
    <w:rsid w:val="00F167B3"/>
    <w:rsid w:val="00F16BD1"/>
    <w:rsid w:val="00F170CE"/>
    <w:rsid w:val="00F20F2B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66CB"/>
    <w:rsid w:val="00F37DF2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296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2C6C"/>
    <w:rsid w:val="00FB3083"/>
    <w:rsid w:val="00FB4034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210F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6C0D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79243A"/>
  <w15:docId w15:val="{6BB7C78E-E9B7-4775-9458-ADEA4ACD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st">
    <w:name w:val="st"/>
    <w:basedOn w:val="Absatz-Standardschriftart"/>
    <w:rsid w:val="00D5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fischer@itac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nctum-pr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@punctum-pr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acsoftware.de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5C7CC-B2BE-477C-B638-C1AE4761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3871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iTAC</vt:lpstr>
      <vt:lpstr>iTAC</vt:lpstr>
    </vt:vector>
  </TitlesOfParts>
  <Company>iTAC Software AG</Company>
  <LinksUpToDate>false</LinksUpToDate>
  <CharactersWithSpaces>4477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iTAC Presse News</dc:title>
  <dc:subject>iTAC Gartner Empfehlung Automotive</dc:subject>
  <dc:creator>iTAC Software;Michael Fischer</dc:creator>
  <cp:keywords>PR MES iTAC Software</cp:keywords>
  <dc:description>copyright</dc:description>
  <cp:lastModifiedBy>Michael Fischer</cp:lastModifiedBy>
  <cp:revision>2</cp:revision>
  <cp:lastPrinted>2017-03-01T11:54:00Z</cp:lastPrinted>
  <dcterms:created xsi:type="dcterms:W3CDTF">2018-02-14T18:17:00Z</dcterms:created>
  <dcterms:modified xsi:type="dcterms:W3CDTF">2018-02-14T18:17:00Z</dcterms:modified>
  <cp:category>Presse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